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480D" w:rsidRDefault="0000480D" w:rsidP="0000480D">
      <w:pPr>
        <w:spacing w:line="480" w:lineRule="auto"/>
        <w:jc w:val="center"/>
      </w:pPr>
    </w:p>
    <w:p w:rsidR="008113FF" w:rsidRDefault="008113FF" w:rsidP="0000480D">
      <w:pPr>
        <w:spacing w:line="480" w:lineRule="auto"/>
        <w:jc w:val="center"/>
      </w:pPr>
    </w:p>
    <w:p w:rsidR="008113FF" w:rsidRDefault="008113FF" w:rsidP="0000480D">
      <w:pPr>
        <w:spacing w:line="480" w:lineRule="auto"/>
        <w:jc w:val="center"/>
      </w:pPr>
    </w:p>
    <w:p w:rsidR="0000480D" w:rsidRDefault="0000480D" w:rsidP="0000480D">
      <w:pPr>
        <w:spacing w:line="480" w:lineRule="auto"/>
        <w:jc w:val="center"/>
      </w:pPr>
    </w:p>
    <w:p w:rsidR="008113FF" w:rsidRDefault="008113FF" w:rsidP="0000480D">
      <w:pPr>
        <w:spacing w:line="480" w:lineRule="auto"/>
        <w:jc w:val="center"/>
      </w:pPr>
    </w:p>
    <w:p w:rsidR="0000480D" w:rsidRDefault="0000480D" w:rsidP="008113FF">
      <w:pPr>
        <w:spacing w:line="480" w:lineRule="auto"/>
      </w:pPr>
    </w:p>
    <w:p w:rsidR="008113FF" w:rsidRDefault="008113FF" w:rsidP="0000480D">
      <w:pPr>
        <w:spacing w:line="480" w:lineRule="auto"/>
        <w:jc w:val="center"/>
      </w:pPr>
    </w:p>
    <w:p w:rsidR="004B5C00" w:rsidRDefault="008113FF" w:rsidP="008113FF">
      <w:pPr>
        <w:spacing w:line="480" w:lineRule="auto"/>
        <w:jc w:val="center"/>
      </w:pPr>
      <w:r>
        <w:t xml:space="preserve">Grant Proposal          </w:t>
      </w:r>
    </w:p>
    <w:p w:rsidR="0000480D" w:rsidRDefault="0000480D" w:rsidP="0000480D">
      <w:pPr>
        <w:spacing w:line="480" w:lineRule="auto"/>
        <w:jc w:val="center"/>
      </w:pPr>
      <w:r>
        <w:t>Name</w:t>
      </w:r>
    </w:p>
    <w:p w:rsidR="0000480D" w:rsidRDefault="0000480D" w:rsidP="0000480D">
      <w:pPr>
        <w:spacing w:line="480" w:lineRule="auto"/>
        <w:jc w:val="center"/>
      </w:pPr>
      <w:r>
        <w:t>Institution</w:t>
      </w:r>
    </w:p>
    <w:p w:rsidR="0000480D" w:rsidRDefault="0000480D" w:rsidP="0000480D">
      <w:pPr>
        <w:spacing w:line="480" w:lineRule="auto"/>
        <w:jc w:val="center"/>
      </w:pPr>
      <w:r>
        <w:t>Date</w:t>
      </w:r>
    </w:p>
    <w:p w:rsidR="0000480D" w:rsidRDefault="0000480D" w:rsidP="0000480D">
      <w:pPr>
        <w:spacing w:line="480" w:lineRule="auto"/>
        <w:jc w:val="center"/>
      </w:pPr>
    </w:p>
    <w:p w:rsidR="0000480D" w:rsidRDefault="0000480D" w:rsidP="0000480D">
      <w:pPr>
        <w:spacing w:line="480" w:lineRule="auto"/>
        <w:jc w:val="center"/>
      </w:pPr>
    </w:p>
    <w:p w:rsidR="0000480D" w:rsidRDefault="0000480D" w:rsidP="0000480D">
      <w:pPr>
        <w:spacing w:line="480" w:lineRule="auto"/>
        <w:jc w:val="center"/>
      </w:pPr>
    </w:p>
    <w:p w:rsidR="0000480D" w:rsidRDefault="0000480D" w:rsidP="0000480D">
      <w:pPr>
        <w:spacing w:line="480" w:lineRule="auto"/>
        <w:jc w:val="center"/>
      </w:pPr>
    </w:p>
    <w:p w:rsidR="0000480D" w:rsidRDefault="0000480D" w:rsidP="008113FF">
      <w:pPr>
        <w:spacing w:line="480" w:lineRule="auto"/>
      </w:pPr>
    </w:p>
    <w:p w:rsidR="008113FF" w:rsidRDefault="008113FF" w:rsidP="008113FF">
      <w:pPr>
        <w:spacing w:line="480" w:lineRule="auto"/>
        <w:jc w:val="center"/>
      </w:pPr>
    </w:p>
    <w:p w:rsidR="008113FF" w:rsidRDefault="008113FF" w:rsidP="008113FF">
      <w:pPr>
        <w:spacing w:line="480" w:lineRule="auto"/>
        <w:jc w:val="center"/>
      </w:pPr>
      <w:r>
        <w:lastRenderedPageBreak/>
        <w:t>Grant Proposal</w:t>
      </w:r>
    </w:p>
    <w:p w:rsidR="0000480D" w:rsidRPr="00273117" w:rsidRDefault="0000480D" w:rsidP="0000480D">
      <w:pPr>
        <w:spacing w:line="480" w:lineRule="auto"/>
        <w:jc w:val="center"/>
        <w:rPr>
          <w:b/>
        </w:rPr>
      </w:pPr>
      <w:r w:rsidRPr="00273117">
        <w:rPr>
          <w:b/>
        </w:rPr>
        <w:t>Grant Source Identification</w:t>
      </w:r>
    </w:p>
    <w:p w:rsidR="005C615B" w:rsidRPr="00842200" w:rsidRDefault="00F8490A" w:rsidP="00842200">
      <w:pPr>
        <w:spacing w:line="480" w:lineRule="auto"/>
        <w:jc w:val="center"/>
        <w:rPr>
          <w:b/>
        </w:rPr>
      </w:pPr>
      <w:r w:rsidRPr="00842200">
        <w:rPr>
          <w:b/>
        </w:rPr>
        <w:t>Annenberg Foundation</w:t>
      </w:r>
    </w:p>
    <w:p w:rsidR="00E206AC" w:rsidRDefault="008304A4" w:rsidP="008304A4">
      <w:pPr>
        <w:spacing w:line="480" w:lineRule="auto"/>
        <w:ind w:firstLine="720"/>
      </w:pPr>
      <w:r>
        <w:t xml:space="preserve">The Foundation was established by Walter Annenberg who served as an Ambassador to the court of St. James from 1969-1974. Also, Annenberg was a famous Philanthropist, broadcaster, publisher and diplomat. He was the president and the chairman of the board of Triangle publications which included the Seventeen magazine, TV Guide, TV and radio stations in all parts of United States (Grantmaking | Annenberg Foundation, 2019). However, the establishment of the Annenberg Foundation was in 1989 after the sale of Triangle Publications. </w:t>
      </w:r>
    </w:p>
    <w:p w:rsidR="008304A4" w:rsidRDefault="008304A4" w:rsidP="008304A4">
      <w:pPr>
        <w:spacing w:line="480" w:lineRule="auto"/>
        <w:ind w:firstLine="720"/>
      </w:pPr>
      <w:r>
        <w:t xml:space="preserve">The Foundation of Annenberg cost $1.2 billion which was about one-third of the total sales of Triangle Publications assets. Also, before the establishment of Annenberg Foundation, Annenberg had founded other establishments including the Annenberg School of Journalism located at the University of California in 1971, the Annenberg School for Communication located at the University of Pennsylvania in 1958. In 1983 and Annenberg founded the Washington program in Communication Policy Studies (Grantmaking | Annenberg Foundation, 2019). </w:t>
      </w:r>
    </w:p>
    <w:p w:rsidR="008304A4" w:rsidRDefault="008304A4" w:rsidP="008304A4">
      <w:pPr>
        <w:spacing w:line="480" w:lineRule="auto"/>
        <w:ind w:firstLine="720"/>
      </w:pPr>
      <w:r>
        <w:t xml:space="preserve">Upon launching Annenberg Foundation after the sale of Triangle Publications assets and amendment of its articles of Incorporation, Annenberg Foundation revised its mission and included disbursement of funds for scientific educational and other charitable projects that benefit the community (Who We Are | Annenberg foundation, 2019). Spearheaded by the current CEO, Wallis Annenberg, the organization operates as a non-profit corporation by complying </w:t>
      </w:r>
      <w:r>
        <w:lastRenderedPageBreak/>
        <w:t xml:space="preserve">with the Annenberg establishment statutes which were amended and restated on 30, November 2011. </w:t>
      </w:r>
    </w:p>
    <w:p w:rsidR="008304A4" w:rsidRDefault="008304A4" w:rsidP="008304A4">
      <w:pPr>
        <w:spacing w:line="480" w:lineRule="auto"/>
        <w:ind w:firstLine="720"/>
      </w:pPr>
      <w:r>
        <w:t>Following his dedication in philanthropy, Annenberg donated precious gifts to support hospitals, arts, presidential libraries, museums, and orchestras. In addition, he donated chairs to over 12 colleges in the USA. Across the United States, Annenberg and his wife, Leonore Annenberg had a good reputation and were highly respected patrons having endowed their impressionist masterpieces to the Metropolitan Museum of Art in New York City (Grantmaking | Annenberg Foundation, 2019).</w:t>
      </w:r>
    </w:p>
    <w:p w:rsidR="008304A4" w:rsidRDefault="008304A4" w:rsidP="008304A4">
      <w:pPr>
        <w:spacing w:line="480" w:lineRule="auto"/>
        <w:ind w:firstLine="720"/>
      </w:pPr>
      <w:r>
        <w:t>After launching the Annenberg foundation, his attention was centered entirely on philanthropy. Therefore, in 1993, Annenberg Foundation made a historic staggering commitment to the public education when they endowed $500 million following the launching of a new initiative, Annenberg Challenge for School Reform, which aimed at reviving and inspiring public school reform in over 18 parts across the United States (Grantmaking | Annenberg Foundation, 2019). The funding facilitated over $600 million in matching grants in different cities of the United States.  The Annenberg Challenge for School Reform catalyzed Reform in many school districts in the nation.</w:t>
      </w:r>
    </w:p>
    <w:p w:rsidR="008304A4" w:rsidRDefault="008304A4" w:rsidP="008304A4">
      <w:pPr>
        <w:spacing w:line="480" w:lineRule="auto"/>
        <w:ind w:firstLine="720"/>
      </w:pPr>
      <w:r>
        <w:t>After his the death of Walter Annenberg, his wife, Leonore Annenberg took over the leadership of Annenberg Foundation. Seven years later, Leonore Annenberg passed away, and Wallis Annenberg is assuming the leadership of the foundation with the help of Charles Annenberg, Gregory Annenberg and Lauren Bon (Grantmaking | Annenberg Foundation, 2019). However, the power transition did not stop its philanthropic purposes; instead, it has expanded to include social justice, animal welfare and environmental stewardship in its remarkable program.</w:t>
      </w:r>
    </w:p>
    <w:p w:rsidR="008304A4" w:rsidRDefault="008304A4" w:rsidP="008304A4">
      <w:pPr>
        <w:spacing w:line="480" w:lineRule="auto"/>
        <w:ind w:firstLine="720"/>
      </w:pPr>
      <w:r>
        <w:lastRenderedPageBreak/>
        <w:t>In the recent years, the Annenberg Foundation has advanced from a grant-making organization to the one that is directly involved in impacting the community through its exceptional charitable programs to facilitate large-scale solutions to systematic problems to be accomplished.</w:t>
      </w:r>
    </w:p>
    <w:p w:rsidR="008304A4" w:rsidRPr="00E206AC" w:rsidRDefault="008304A4" w:rsidP="00E206AC">
      <w:pPr>
        <w:spacing w:line="480" w:lineRule="auto"/>
        <w:ind w:firstLine="720"/>
        <w:jc w:val="center"/>
        <w:rPr>
          <w:b/>
        </w:rPr>
      </w:pPr>
      <w:r w:rsidRPr="00E206AC">
        <w:rPr>
          <w:b/>
        </w:rPr>
        <w:t>Grant Application</w:t>
      </w:r>
    </w:p>
    <w:p w:rsidR="008304A4" w:rsidRDefault="008304A4" w:rsidP="008304A4">
      <w:pPr>
        <w:spacing w:line="480" w:lineRule="auto"/>
        <w:ind w:firstLine="720"/>
      </w:pPr>
      <w:r>
        <w:t>The Annenberg Foundation focuses mostly on underserved constituents located in Ventur</w:t>
      </w:r>
      <w:r w:rsidR="00E206AC">
        <w:t xml:space="preserve">a, Los Angeles, San Bernardino; </w:t>
      </w:r>
      <w:r>
        <w:t>Riverside and Orange Counties (Grantmaking | Annenberg Foundation, 2019). Moreover, non-profit organizations that are headquartered outside the 5 Counties but serve the Los Angeles region are allowed to apply. Usually, the Organization does not consider offering support to organizations outside the 5 County-region both nationally and internationally. The grants are strictly for one year and range from $10,000-$100,000.</w:t>
      </w:r>
    </w:p>
    <w:p w:rsidR="008304A4" w:rsidRDefault="008304A4" w:rsidP="008304A4">
      <w:pPr>
        <w:spacing w:line="480" w:lineRule="auto"/>
        <w:ind w:firstLine="720"/>
      </w:pPr>
      <w:r>
        <w:t>The Foundation requires the non-profit organization seeking grant support from the community Grantmaking program to present the demographic information. The information includes applicants' board and staff as well as the individuals being served (Grantmaking | Annenberg Foundation, 2019). However, the Foundation has no specific requirement in relation to the demographic structure of the board and staff; instead, the demographic information is intended to serve the primary goal of learning on the grants offered as well as the communities supported, with the aim of increasing grants supporting diverse populations and fulfilling the organizational goals of equity and diversity.</w:t>
      </w:r>
    </w:p>
    <w:p w:rsidR="008304A4" w:rsidRDefault="008304A4" w:rsidP="008304A4">
      <w:pPr>
        <w:spacing w:line="480" w:lineRule="auto"/>
        <w:ind w:firstLine="720"/>
      </w:pPr>
      <w:r>
        <w:t xml:space="preserve">After a non-profit organization or a leader submits a grant proposal, the Annenberg Foundation reviews the information to determine whether the applicant meets all the conditions. In addition, the Annenberg Foundation determines whether the applicant has established good </w:t>
      </w:r>
      <w:r>
        <w:lastRenderedPageBreak/>
        <w:t>practices in relation to financial stability, board governance, and staff development, network with peers, collaboration, and infrastructure. While the information in the applicant's proposal is considered in the final decision in regard to granting application, there is no specific reason for turning down the grant proposal or any particular information that disqualifies a non-profit organization for grant support as long as it is within the recommended area and the amount of support needed is between $10000-$100000 threshold (Who We Are | Annenberg foundation, 2019). If an organization qualifies for grant support, it is eligible to apply after the first period ends. However, the Foundation must approve the report.</w:t>
      </w:r>
    </w:p>
    <w:p w:rsidR="008304A4" w:rsidRPr="00E206AC" w:rsidRDefault="008304A4" w:rsidP="00E206AC">
      <w:pPr>
        <w:spacing w:line="480" w:lineRule="auto"/>
        <w:ind w:firstLine="720"/>
        <w:jc w:val="center"/>
        <w:rPr>
          <w:b/>
        </w:rPr>
      </w:pPr>
      <w:r w:rsidRPr="00E206AC">
        <w:rPr>
          <w:b/>
        </w:rPr>
        <w:t>Values</w:t>
      </w:r>
    </w:p>
    <w:p w:rsidR="008304A4" w:rsidRDefault="008304A4" w:rsidP="008304A4">
      <w:pPr>
        <w:spacing w:line="480" w:lineRule="auto"/>
        <w:ind w:firstLine="720"/>
      </w:pPr>
      <w:r>
        <w:t>The Foundation is dedicated to core values of fairness, accessibility, and involvement. The specific organizational values by Annenberg Foundation are an impact, innovation, sustainability, innovation, visional leadership, strength, a network of peers/partnerships and network of the population being served.</w:t>
      </w:r>
    </w:p>
    <w:p w:rsidR="008304A4" w:rsidRPr="00E206AC" w:rsidRDefault="008304A4" w:rsidP="00E206AC">
      <w:pPr>
        <w:spacing w:line="480" w:lineRule="auto"/>
        <w:ind w:firstLine="720"/>
        <w:jc w:val="center"/>
        <w:rPr>
          <w:b/>
        </w:rPr>
      </w:pPr>
      <w:r w:rsidRPr="00E206AC">
        <w:rPr>
          <w:b/>
        </w:rPr>
        <w:t>Vision</w:t>
      </w:r>
    </w:p>
    <w:p w:rsidR="008304A4" w:rsidRDefault="008304A4" w:rsidP="008304A4">
      <w:pPr>
        <w:spacing w:line="480" w:lineRule="auto"/>
        <w:ind w:firstLine="720"/>
      </w:pPr>
      <w:r>
        <w:t>The Annenberg Foundation believes in supporting and funding non-profit organization and leaders with a deep level of community involvement, led by capable leaders as well as tackle challenging and timely problems (Grantmaking | Annenberg Foundation, 2019).</w:t>
      </w:r>
    </w:p>
    <w:p w:rsidR="008304A4" w:rsidRPr="00E206AC" w:rsidRDefault="008304A4" w:rsidP="00E206AC">
      <w:pPr>
        <w:spacing w:line="480" w:lineRule="auto"/>
        <w:ind w:firstLine="720"/>
        <w:jc w:val="center"/>
        <w:rPr>
          <w:b/>
        </w:rPr>
      </w:pPr>
      <w:r w:rsidRPr="00E206AC">
        <w:rPr>
          <w:b/>
        </w:rPr>
        <w:t>Mission</w:t>
      </w:r>
    </w:p>
    <w:p w:rsidR="008304A4" w:rsidRDefault="008304A4" w:rsidP="008304A4">
      <w:pPr>
        <w:spacing w:line="480" w:lineRule="auto"/>
        <w:ind w:firstLine="720"/>
      </w:pPr>
      <w:r>
        <w:t xml:space="preserve">The Annenberg Foundation is a family organization that provides support and funding for non-profit organizations both in the United States and international level. Like the Foundation, the Board of Directors (BOD) is directly involved to the needs of the community with inventive </w:t>
      </w:r>
      <w:r>
        <w:lastRenderedPageBreak/>
        <w:t>projects that propel its purpose to advance the well-being of the community through improved communication (Grantmaking | Annenberg Foundation, 2019). The Annenberg Foundation supports the development of efficient ways to share knowledge and ideas.</w:t>
      </w:r>
    </w:p>
    <w:p w:rsidR="008304A4" w:rsidRPr="00E206AC" w:rsidRDefault="008304A4" w:rsidP="00E206AC">
      <w:pPr>
        <w:spacing w:line="480" w:lineRule="auto"/>
        <w:ind w:firstLine="720"/>
        <w:jc w:val="center"/>
        <w:rPr>
          <w:b/>
        </w:rPr>
      </w:pPr>
      <w:r w:rsidRPr="00E206AC">
        <w:rPr>
          <w:b/>
        </w:rPr>
        <w:t>Goals</w:t>
      </w:r>
    </w:p>
    <w:p w:rsidR="008304A4" w:rsidRDefault="008304A4" w:rsidP="008304A4">
      <w:pPr>
        <w:spacing w:line="480" w:lineRule="auto"/>
        <w:ind w:firstLine="720"/>
      </w:pPr>
      <w:r>
        <w:t>The Annenberg foundation designated their capacity building program name as Alchemy, founded on the belief that when Board Chairs and executive directors are aligned in a common goal, an inevitable thrust for change will ignite which will then raise organizations to a level of higher effectiveness. Alchemy denotes to a practice of turning something ordinary to something extraordinary (Who We Are | Annenberg foundation, 2019).</w:t>
      </w:r>
    </w:p>
    <w:p w:rsidR="00E206AC" w:rsidRDefault="008304A4" w:rsidP="008304A4">
      <w:pPr>
        <w:spacing w:line="480" w:lineRule="auto"/>
        <w:ind w:firstLine="720"/>
      </w:pPr>
      <w:r>
        <w:t xml:space="preserve">The goal of Alchemy is to bring the Board Chairs and Executive Directors and connect the leaders of non-profit organization leaders to resources that will foster their willingness head their organizations rightly and produce good outcomes which in turn will aid them to form healthy, resilient and extraordinary communities. The critical concerns addressed are board effectiveness, accountability, effective fundraising, and public involvement. </w:t>
      </w:r>
    </w:p>
    <w:p w:rsidR="008304A4" w:rsidRDefault="008304A4" w:rsidP="008304A4">
      <w:pPr>
        <w:spacing w:line="480" w:lineRule="auto"/>
        <w:ind w:firstLine="720"/>
      </w:pPr>
      <w:r>
        <w:t>Furthermore, the program connects the participants to a network of peers through roundtable discussions and learning communities (Grantmaking | Annenberg Foundation, 2019). In these platforms, the Annenberg Foundation share innovative strategies and best practices. Moreover, Alchemy's leadership development and capacity building program focuses on supporting leaders and non-profit organizations situated in the five-county area of Los Angeles.</w:t>
      </w:r>
    </w:p>
    <w:p w:rsidR="00E206AC" w:rsidRDefault="00E206AC" w:rsidP="008304A4">
      <w:pPr>
        <w:spacing w:line="480" w:lineRule="auto"/>
        <w:ind w:firstLine="720"/>
      </w:pPr>
    </w:p>
    <w:p w:rsidR="00E206AC" w:rsidRDefault="00E206AC" w:rsidP="008304A4">
      <w:pPr>
        <w:spacing w:line="480" w:lineRule="auto"/>
        <w:ind w:firstLine="720"/>
      </w:pPr>
    </w:p>
    <w:p w:rsidR="008304A4" w:rsidRPr="00E206AC" w:rsidRDefault="008304A4" w:rsidP="00E206AC">
      <w:pPr>
        <w:spacing w:line="480" w:lineRule="auto"/>
        <w:ind w:firstLine="720"/>
        <w:jc w:val="center"/>
        <w:rPr>
          <w:b/>
        </w:rPr>
      </w:pPr>
      <w:r w:rsidRPr="00E206AC">
        <w:rPr>
          <w:b/>
        </w:rPr>
        <w:lastRenderedPageBreak/>
        <w:t>Objectives</w:t>
      </w:r>
    </w:p>
    <w:p w:rsidR="008304A4" w:rsidRDefault="008304A4" w:rsidP="008304A4">
      <w:pPr>
        <w:spacing w:line="480" w:lineRule="auto"/>
        <w:ind w:firstLine="720"/>
      </w:pPr>
      <w:r>
        <w:t>The Annenberg foundation spending objective is to make annual grant distributions on an excess of 5% minimum required distribution as mandated by current internal revenue service guideline (Grantmaking | Annenberg Foundation, 2019).</w:t>
      </w:r>
    </w:p>
    <w:p w:rsidR="008304A4" w:rsidRPr="00E206AC" w:rsidRDefault="008304A4" w:rsidP="00E206AC">
      <w:pPr>
        <w:spacing w:line="480" w:lineRule="auto"/>
        <w:ind w:firstLine="720"/>
        <w:jc w:val="center"/>
        <w:rPr>
          <w:b/>
        </w:rPr>
      </w:pPr>
      <w:r w:rsidRPr="00E206AC">
        <w:rPr>
          <w:b/>
        </w:rPr>
        <w:t>Grant Proposal Programme.</w:t>
      </w:r>
    </w:p>
    <w:p w:rsidR="008304A4" w:rsidRPr="00E206AC" w:rsidRDefault="008304A4" w:rsidP="00E206AC">
      <w:pPr>
        <w:spacing w:line="480" w:lineRule="auto"/>
        <w:ind w:firstLine="720"/>
        <w:jc w:val="center"/>
        <w:rPr>
          <w:b/>
        </w:rPr>
      </w:pPr>
      <w:r w:rsidRPr="00E206AC">
        <w:rPr>
          <w:b/>
        </w:rPr>
        <w:t>Read For Success Program</w:t>
      </w:r>
    </w:p>
    <w:p w:rsidR="008304A4" w:rsidRDefault="008304A4" w:rsidP="00E206AC">
      <w:pPr>
        <w:spacing w:line="480" w:lineRule="auto"/>
        <w:ind w:firstLine="720"/>
        <w:jc w:val="center"/>
      </w:pPr>
      <w:r w:rsidRPr="00E206AC">
        <w:rPr>
          <w:b/>
        </w:rPr>
        <w:t>Introduction.</w:t>
      </w:r>
    </w:p>
    <w:p w:rsidR="008304A4" w:rsidRDefault="008304A4" w:rsidP="008304A4">
      <w:pPr>
        <w:spacing w:line="480" w:lineRule="auto"/>
        <w:ind w:firstLine="720"/>
      </w:pPr>
      <w:r>
        <w:t>Franklin High School, in Los Angeles, is seeking grant support to introduce the Read For Success Program which was endorsed by California Department of education with the goal of supporting all students with visual problems and ADHD problems to read easily like their counterparts. The need resulted from the findings that vision sharpness immensely impacts on academic performance by affecting behavior, learning, and physical coordination. The objective of the program is to ensure that at the end of June 2020, the affected students will have doubled their reading speed and the grades of the affected students will rise by at least 10%. The Read to Success Program utilizes the most modern technology on effective reading practices, and the Annenberg Foundation is a viable granting organization.</w:t>
      </w:r>
    </w:p>
    <w:p w:rsidR="008304A4" w:rsidRDefault="008304A4" w:rsidP="008304A4">
      <w:pPr>
        <w:spacing w:line="480" w:lineRule="auto"/>
        <w:ind w:firstLine="720"/>
      </w:pPr>
    </w:p>
    <w:p w:rsidR="008304A4" w:rsidRDefault="008304A4" w:rsidP="008304A4">
      <w:pPr>
        <w:spacing w:line="480" w:lineRule="auto"/>
        <w:ind w:firstLine="720"/>
      </w:pPr>
    </w:p>
    <w:p w:rsidR="008304A4" w:rsidRDefault="008304A4" w:rsidP="008304A4">
      <w:pPr>
        <w:spacing w:line="480" w:lineRule="auto"/>
        <w:ind w:firstLine="720"/>
      </w:pPr>
    </w:p>
    <w:p w:rsidR="008304A4" w:rsidRDefault="008304A4" w:rsidP="00E206AC">
      <w:pPr>
        <w:spacing w:line="480" w:lineRule="auto"/>
      </w:pPr>
    </w:p>
    <w:p w:rsidR="008304A4" w:rsidRPr="00E206AC" w:rsidRDefault="008304A4" w:rsidP="00E206AC">
      <w:pPr>
        <w:spacing w:line="480" w:lineRule="auto"/>
        <w:ind w:firstLine="720"/>
        <w:jc w:val="center"/>
        <w:rPr>
          <w:b/>
        </w:rPr>
      </w:pPr>
      <w:r w:rsidRPr="00E206AC">
        <w:rPr>
          <w:b/>
        </w:rPr>
        <w:lastRenderedPageBreak/>
        <w:t>Statement of Activities</w:t>
      </w:r>
    </w:p>
    <w:p w:rsidR="008304A4" w:rsidRDefault="008304A4" w:rsidP="00E206AC">
      <w:pPr>
        <w:pStyle w:val="ListParagraph"/>
        <w:numPr>
          <w:ilvl w:val="0"/>
          <w:numId w:val="2"/>
        </w:numPr>
        <w:spacing w:line="480" w:lineRule="auto"/>
      </w:pPr>
      <w:r>
        <w:t xml:space="preserve">The grant proposal will be submitted in March 2019. </w:t>
      </w:r>
    </w:p>
    <w:p w:rsidR="008304A4" w:rsidRDefault="008304A4" w:rsidP="00E206AC">
      <w:pPr>
        <w:pStyle w:val="ListParagraph"/>
        <w:numPr>
          <w:ilvl w:val="0"/>
          <w:numId w:val="2"/>
        </w:numPr>
        <w:spacing w:line="480" w:lineRule="auto"/>
      </w:pPr>
      <w:r>
        <w:t>The grant proposal is expected to be processed in three months and thus expect notification in June 2019.</w:t>
      </w:r>
    </w:p>
    <w:p w:rsidR="008304A4" w:rsidRDefault="008304A4" w:rsidP="00E206AC">
      <w:pPr>
        <w:pStyle w:val="ListParagraph"/>
        <w:numPr>
          <w:ilvl w:val="0"/>
          <w:numId w:val="2"/>
        </w:numPr>
        <w:spacing w:line="480" w:lineRule="auto"/>
      </w:pPr>
      <w:r>
        <w:t>All materials including the software and hardware required will be obtained in July 2019.</w:t>
      </w:r>
    </w:p>
    <w:p w:rsidR="008304A4" w:rsidRDefault="008304A4" w:rsidP="00E206AC">
      <w:pPr>
        <w:pStyle w:val="ListParagraph"/>
        <w:numPr>
          <w:ilvl w:val="0"/>
          <w:numId w:val="2"/>
        </w:numPr>
        <w:spacing w:line="480" w:lineRule="auto"/>
      </w:pPr>
      <w:r>
        <w:t>Install the Kurzweil Software in July 2019</w:t>
      </w:r>
    </w:p>
    <w:p w:rsidR="008304A4" w:rsidRDefault="008304A4" w:rsidP="00E206AC">
      <w:pPr>
        <w:pStyle w:val="ListParagraph"/>
        <w:numPr>
          <w:ilvl w:val="0"/>
          <w:numId w:val="2"/>
        </w:numPr>
        <w:spacing w:line="480" w:lineRule="auto"/>
      </w:pPr>
      <w:r>
        <w:t>Introduce training sessions for all teachers to facilitate easy learning for the student. The training will take place in August 2019.</w:t>
      </w:r>
    </w:p>
    <w:p w:rsidR="008304A4" w:rsidRDefault="008304A4" w:rsidP="00E206AC">
      <w:pPr>
        <w:pStyle w:val="ListParagraph"/>
        <w:numPr>
          <w:ilvl w:val="0"/>
          <w:numId w:val="2"/>
        </w:numPr>
        <w:spacing w:line="480" w:lineRule="auto"/>
      </w:pPr>
      <w:r>
        <w:t>The teachers will introduce students on how to use the software in August 2019.</w:t>
      </w:r>
    </w:p>
    <w:p w:rsidR="008304A4" w:rsidRDefault="008304A4" w:rsidP="00E206AC">
      <w:pPr>
        <w:pStyle w:val="ListParagraph"/>
        <w:numPr>
          <w:ilvl w:val="0"/>
          <w:numId w:val="2"/>
        </w:numPr>
        <w:spacing w:line="480" w:lineRule="auto"/>
      </w:pPr>
      <w:r>
        <w:t>An initial standardized assessment will be offered to all student to determine both the reading speed and test score on August 2019</w:t>
      </w:r>
    </w:p>
    <w:p w:rsidR="008304A4" w:rsidRDefault="008304A4" w:rsidP="00E206AC">
      <w:pPr>
        <w:pStyle w:val="ListParagraph"/>
        <w:numPr>
          <w:ilvl w:val="0"/>
          <w:numId w:val="2"/>
        </w:numPr>
        <w:spacing w:line="480" w:lineRule="auto"/>
      </w:pPr>
      <w:r>
        <w:t>The students commence in using the read for Success software in September 2019</w:t>
      </w:r>
    </w:p>
    <w:p w:rsidR="008304A4" w:rsidRDefault="008304A4" w:rsidP="00E206AC">
      <w:pPr>
        <w:pStyle w:val="ListParagraph"/>
        <w:numPr>
          <w:ilvl w:val="0"/>
          <w:numId w:val="2"/>
        </w:numPr>
        <w:spacing w:line="480" w:lineRule="auto"/>
      </w:pPr>
      <w:r>
        <w:t>To cater for the holiday weeks, the first phase of evaluation will end on May 2020</w:t>
      </w:r>
    </w:p>
    <w:p w:rsidR="008304A4" w:rsidRDefault="008304A4" w:rsidP="00E206AC">
      <w:pPr>
        <w:pStyle w:val="ListParagraph"/>
        <w:numPr>
          <w:ilvl w:val="0"/>
          <w:numId w:val="2"/>
        </w:numPr>
        <w:spacing w:line="480" w:lineRule="auto"/>
      </w:pPr>
      <w:r>
        <w:t>A final assessment will be provided to the student in June 2020.</w:t>
      </w:r>
    </w:p>
    <w:p w:rsidR="008304A4" w:rsidRDefault="008304A4" w:rsidP="00E206AC">
      <w:pPr>
        <w:pStyle w:val="ListParagraph"/>
        <w:numPr>
          <w:ilvl w:val="0"/>
          <w:numId w:val="2"/>
        </w:numPr>
        <w:spacing w:line="480" w:lineRule="auto"/>
      </w:pPr>
      <w:r>
        <w:t xml:space="preserve">The report on the results will be prepared in June 2020. </w:t>
      </w:r>
    </w:p>
    <w:p w:rsidR="008304A4" w:rsidRPr="00E206AC" w:rsidRDefault="008304A4" w:rsidP="00E206AC">
      <w:pPr>
        <w:spacing w:line="480" w:lineRule="auto"/>
        <w:ind w:firstLine="720"/>
        <w:jc w:val="center"/>
        <w:rPr>
          <w:b/>
        </w:rPr>
      </w:pPr>
      <w:r w:rsidRPr="00E206AC">
        <w:rPr>
          <w:b/>
        </w:rPr>
        <w:t>Objectives</w:t>
      </w:r>
    </w:p>
    <w:p w:rsidR="008304A4" w:rsidRDefault="008304A4" w:rsidP="008304A4">
      <w:pPr>
        <w:spacing w:line="480" w:lineRule="auto"/>
        <w:ind w:firstLine="720"/>
      </w:pPr>
      <w:r>
        <w:t>1. Read For Success Program aims to help students with Visual problems to gain .proficiency in reading.</w:t>
      </w:r>
    </w:p>
    <w:p w:rsidR="008304A4" w:rsidRDefault="008304A4" w:rsidP="008304A4">
      <w:pPr>
        <w:spacing w:line="480" w:lineRule="auto"/>
        <w:ind w:firstLine="720"/>
      </w:pPr>
      <w:r>
        <w:t>2. To lower the percentage of students with less proficiency in mathematics by 10%.</w:t>
      </w:r>
    </w:p>
    <w:p w:rsidR="008304A4" w:rsidRDefault="008304A4" w:rsidP="008304A4">
      <w:pPr>
        <w:spacing w:line="480" w:lineRule="auto"/>
        <w:ind w:firstLine="720"/>
      </w:pPr>
      <w:r>
        <w:t>3. To offer a large variety of reading materials to all the students in Franklin High School.</w:t>
      </w:r>
    </w:p>
    <w:p w:rsidR="008304A4" w:rsidRPr="00E206AC" w:rsidRDefault="008304A4" w:rsidP="00E206AC">
      <w:pPr>
        <w:spacing w:line="480" w:lineRule="auto"/>
        <w:ind w:firstLine="720"/>
        <w:jc w:val="center"/>
        <w:rPr>
          <w:b/>
        </w:rPr>
      </w:pPr>
      <w:r w:rsidRPr="00E206AC">
        <w:rPr>
          <w:b/>
        </w:rPr>
        <w:lastRenderedPageBreak/>
        <w:t>Statement of Need</w:t>
      </w:r>
      <w:r w:rsidR="00E206AC" w:rsidRPr="00E206AC">
        <w:rPr>
          <w:b/>
        </w:rPr>
        <w:t>s</w:t>
      </w:r>
    </w:p>
    <w:p w:rsidR="008304A4" w:rsidRDefault="008304A4" w:rsidP="008304A4">
      <w:pPr>
        <w:spacing w:line="480" w:lineRule="auto"/>
        <w:ind w:firstLine="720"/>
      </w:pPr>
      <w:r>
        <w:t xml:space="preserve">Franklin High School is located in Los Angeles, California, and serves 1,497 students (grade 9-12).  According to the latest findings in the school, 920 Students (69%) were recorded to have reading issues and 552 (39%) students admitted to being less proficient in mathematics (Linda, 2011). Academically, Franklin High school is positioned at 300 in entire California. A study was conducted to determine the cause of poor results in academics.  Guided by the school values and visions, the Board wants to create and develop a program that will facilitate the study of every student. </w:t>
      </w:r>
    </w:p>
    <w:p w:rsidR="00E206AC" w:rsidRDefault="008304A4" w:rsidP="008304A4">
      <w:pPr>
        <w:spacing w:line="480" w:lineRule="auto"/>
        <w:ind w:firstLine="720"/>
      </w:pPr>
      <w:r>
        <w:t xml:space="preserve">According to the study conducted by the Vision Council of America, one out four students has a visual problem which can be detrimental to his/her behavior, learning and physical coordination. In addition, the study by the Vision Council of America confirmed that most students who have lower performances tend to be truant and eventually drop out of school (Kaniktar, 2014).  Therefore, they concluded that good vision is important because most of the learning in High Schools is presented visually. Justifiably, normal vision for every student is beneficial in order to attain full academic potential. </w:t>
      </w:r>
    </w:p>
    <w:p w:rsidR="008304A4" w:rsidRDefault="008304A4" w:rsidP="008304A4">
      <w:pPr>
        <w:spacing w:line="480" w:lineRule="auto"/>
        <w:ind w:firstLine="720"/>
      </w:pPr>
      <w:r>
        <w:t xml:space="preserve">Another study sponsored by AOA's evidence-based clinical practice guideline confirmed that unattended eye problems hinder social interactions, development and lower self-esteem. Another problem that is a real menace to the Academic performance of students is the Attention Deficit Hyperactive Disorder (ADHD). The US national statistics recorded an increasing number of students with ADHD disorder (Kaniktar, 2014). Most of these problems affect the students' concentration and eventually the academic performance in the school. Therefore, to be true to the school values and vision, immediate intervention is required to rejuvenate the performance of </w:t>
      </w:r>
      <w:r>
        <w:lastRenderedPageBreak/>
        <w:t xml:space="preserve">students. The Read For Success Program has been found as a better process to help student with eye defects. </w:t>
      </w:r>
    </w:p>
    <w:p w:rsidR="008304A4" w:rsidRPr="00E206AC" w:rsidRDefault="008304A4" w:rsidP="00E206AC">
      <w:pPr>
        <w:spacing w:line="480" w:lineRule="auto"/>
        <w:ind w:firstLine="720"/>
        <w:jc w:val="center"/>
        <w:rPr>
          <w:b/>
        </w:rPr>
      </w:pPr>
      <w:r w:rsidRPr="00E206AC">
        <w:rPr>
          <w:b/>
        </w:rPr>
        <w:t>Read For Success Program description</w:t>
      </w:r>
    </w:p>
    <w:p w:rsidR="008304A4" w:rsidRDefault="008304A4" w:rsidP="008304A4">
      <w:pPr>
        <w:spacing w:line="480" w:lineRule="auto"/>
        <w:ind w:firstLine="720"/>
      </w:pPr>
      <w:r>
        <w:t>Read For success Program is a research-based, reading intervention approach developed by the alliance of U.S Department of Education and Read For Success to improve students' reading proficiency. The program has been tested for two years in 16 different states across the U.S. Of all the students who were included in the Read For Success Program in the 16 States, 57% recorded an increased reading proficiency (Kaniktar, 2014). This implies that implementation of the program at Franklin High School will improve the students' proficiency in reading. The utilization of Kurzweil 3000 software facilitates the program.</w:t>
      </w:r>
    </w:p>
    <w:p w:rsidR="00E206AC" w:rsidRDefault="008304A4" w:rsidP="008304A4">
      <w:pPr>
        <w:spacing w:line="480" w:lineRule="auto"/>
        <w:ind w:firstLine="720"/>
      </w:pPr>
      <w:r>
        <w:t xml:space="preserve"> The software is a text-to-speech which is designated to facilitate reading by making it accessible to people who are in need or with a different way of accessing textual information (Kaniktar, 2014). In other words, Kurzweil software mimics the format of any reading material. The software contains the reading functions that enables a student to see the entire graphics, layout, and formatting from the main document hence making it easy for the user to scan and read classroom materials. </w:t>
      </w:r>
    </w:p>
    <w:p w:rsidR="008304A4" w:rsidRDefault="008304A4" w:rsidP="008304A4">
      <w:pPr>
        <w:spacing w:line="480" w:lineRule="auto"/>
        <w:ind w:firstLine="720"/>
      </w:pPr>
      <w:r>
        <w:t>Moreover, the software offers thumbnail bookmark options which enable the user to read between 50-400 words per minute. In addition, the software contains audio materials and can highlight pages from the internet and thus providing additional learning materials (Kaniktar, 2014). Besides, the software can be useful even to the students with good eye vision to broaden their knowledge through access to a variety of materials all students to improve the overall performance.</w:t>
      </w:r>
    </w:p>
    <w:p w:rsidR="008304A4" w:rsidRPr="00E206AC" w:rsidRDefault="008304A4" w:rsidP="00E206AC">
      <w:pPr>
        <w:spacing w:line="480" w:lineRule="auto"/>
        <w:ind w:firstLine="720"/>
        <w:jc w:val="center"/>
        <w:rPr>
          <w:b/>
        </w:rPr>
      </w:pPr>
      <w:r w:rsidRPr="00E206AC">
        <w:rPr>
          <w:b/>
        </w:rPr>
        <w:lastRenderedPageBreak/>
        <w:t>Outcomes and results</w:t>
      </w:r>
    </w:p>
    <w:p w:rsidR="00E206AC" w:rsidRDefault="008304A4" w:rsidP="008304A4">
      <w:pPr>
        <w:spacing w:line="480" w:lineRule="auto"/>
        <w:ind w:firstLine="720"/>
      </w:pPr>
      <w:r>
        <w:t xml:space="preserve">Positive grant response will be critical to the academic performance in Franklin High School. Taking into consideration that the Read For Success Program can be used by all students including those with no eye defects, 20 working stations will be created in the school. This implies that every student in the school will have access to the Read For Success Program. </w:t>
      </w:r>
    </w:p>
    <w:p w:rsidR="008304A4" w:rsidRDefault="008304A4" w:rsidP="008304A4">
      <w:pPr>
        <w:spacing w:line="480" w:lineRule="auto"/>
        <w:ind w:firstLine="720"/>
      </w:pPr>
      <w:r>
        <w:t>The implementation will be beneficial to the students with physical defects in that it will facilitate peer collaboration as well as improve the academic performance of the entire school (Linda, 2011). Notably, Individuals with ADHD disorder tend to have difficulties in the development of self-esteem. However, with the introduction of this vital program, concentration issues are no longer a problem. The program will be beneficial to the students, the School, and the wider community. Also, the program will create a culture of knowledge implying that the students produced by Franklin High School will be fit perfectly outside the world.</w:t>
      </w:r>
    </w:p>
    <w:p w:rsidR="008304A4" w:rsidRPr="00E206AC" w:rsidRDefault="008304A4" w:rsidP="00E206AC">
      <w:pPr>
        <w:spacing w:line="480" w:lineRule="auto"/>
        <w:ind w:firstLine="720"/>
        <w:jc w:val="center"/>
        <w:rPr>
          <w:b/>
        </w:rPr>
      </w:pPr>
      <w:r w:rsidRPr="00E206AC">
        <w:rPr>
          <w:b/>
        </w:rPr>
        <w:t>Evaluation</w:t>
      </w:r>
    </w:p>
    <w:p w:rsidR="008304A4" w:rsidRDefault="008304A4" w:rsidP="008304A4">
      <w:pPr>
        <w:spacing w:line="480" w:lineRule="auto"/>
        <w:ind w:firstLine="720"/>
      </w:pPr>
      <w:r>
        <w:t>Standardized assessment tests will be offered to all the students in the school before the implementation of Read For Success Program. Another assessment will be conducted at the end of the year to evaluate the improvement in reading proficiency and improvement in academics. A final report comparing the initial and final assessment will be generated.</w:t>
      </w:r>
    </w:p>
    <w:p w:rsidR="008304A4" w:rsidRDefault="008304A4" w:rsidP="008304A4">
      <w:pPr>
        <w:spacing w:line="480" w:lineRule="auto"/>
        <w:ind w:firstLine="720"/>
      </w:pPr>
    </w:p>
    <w:p w:rsidR="008304A4" w:rsidRDefault="008304A4" w:rsidP="008304A4">
      <w:pPr>
        <w:spacing w:line="480" w:lineRule="auto"/>
      </w:pPr>
    </w:p>
    <w:p w:rsidR="00E206AC" w:rsidRDefault="00E206AC" w:rsidP="008304A4">
      <w:pPr>
        <w:spacing w:line="480" w:lineRule="auto"/>
        <w:ind w:firstLine="720"/>
      </w:pPr>
    </w:p>
    <w:p w:rsidR="00E206AC" w:rsidRDefault="00E206AC" w:rsidP="008304A4">
      <w:pPr>
        <w:spacing w:line="480" w:lineRule="auto"/>
        <w:ind w:firstLine="720"/>
      </w:pPr>
    </w:p>
    <w:p w:rsidR="008304A4" w:rsidRPr="00E206AC" w:rsidRDefault="008304A4" w:rsidP="00E206AC">
      <w:pPr>
        <w:spacing w:line="480" w:lineRule="auto"/>
        <w:ind w:firstLine="720"/>
        <w:jc w:val="center"/>
        <w:rPr>
          <w:b/>
        </w:rPr>
      </w:pPr>
      <w:r w:rsidRPr="00E206AC">
        <w:rPr>
          <w:b/>
        </w:rPr>
        <w:lastRenderedPageBreak/>
        <w:t>Proposed Budget for Read for Success Program</w:t>
      </w:r>
    </w:p>
    <w:p w:rsidR="008304A4" w:rsidRDefault="008304A4" w:rsidP="008304A4">
      <w:pPr>
        <w:spacing w:line="480" w:lineRule="auto"/>
        <w:ind w:firstLine="720"/>
      </w:pPr>
      <w:r>
        <w:t>The budget of the proposed Read for Success Program includes 20 copies of Kurzweil 3000 software scans coupled with 20 Computers and 20 Scanners (Kaniktar, 2014). This implies that there will be 20 working station in the school which will be useful to all the students in the school. Moreover, it will give provide great flexibility for Franklin High School students. The following is the total budget of running the Read For Success Program.</w:t>
      </w:r>
    </w:p>
    <w:tbl>
      <w:tblPr>
        <w:tblStyle w:val="TableGrid"/>
        <w:tblW w:w="0" w:type="auto"/>
        <w:tblInd w:w="-522" w:type="dxa"/>
        <w:tblLook w:val="04A0"/>
      </w:tblPr>
      <w:tblGrid>
        <w:gridCol w:w="2916"/>
        <w:gridCol w:w="2394"/>
        <w:gridCol w:w="2394"/>
        <w:gridCol w:w="2394"/>
      </w:tblGrid>
      <w:tr w:rsidR="00E206AC" w:rsidTr="00DF3B15">
        <w:tc>
          <w:tcPr>
            <w:tcW w:w="2916" w:type="dxa"/>
          </w:tcPr>
          <w:p w:rsidR="00E206AC" w:rsidRDefault="00E206AC" w:rsidP="00DF3B15">
            <w:pPr>
              <w:spacing w:line="480" w:lineRule="auto"/>
            </w:pPr>
          </w:p>
        </w:tc>
        <w:tc>
          <w:tcPr>
            <w:tcW w:w="2394" w:type="dxa"/>
          </w:tcPr>
          <w:p w:rsidR="00E206AC" w:rsidRDefault="00E206AC" w:rsidP="00DF3B15">
            <w:pPr>
              <w:spacing w:line="480" w:lineRule="auto"/>
            </w:pPr>
            <w:r>
              <w:t>Cost</w:t>
            </w:r>
          </w:p>
        </w:tc>
        <w:tc>
          <w:tcPr>
            <w:tcW w:w="2394" w:type="dxa"/>
          </w:tcPr>
          <w:p w:rsidR="00E206AC" w:rsidRDefault="00E206AC" w:rsidP="00DF3B15">
            <w:pPr>
              <w:spacing w:line="480" w:lineRule="auto"/>
            </w:pPr>
            <w:r>
              <w:t>Amount</w:t>
            </w:r>
          </w:p>
        </w:tc>
        <w:tc>
          <w:tcPr>
            <w:tcW w:w="2394" w:type="dxa"/>
          </w:tcPr>
          <w:p w:rsidR="00E206AC" w:rsidRDefault="00E206AC" w:rsidP="00DF3B15">
            <w:pPr>
              <w:spacing w:line="480" w:lineRule="auto"/>
            </w:pPr>
            <w:r>
              <w:t>Total Cost</w:t>
            </w:r>
          </w:p>
        </w:tc>
      </w:tr>
      <w:tr w:rsidR="00E206AC" w:rsidTr="00DF3B15">
        <w:trPr>
          <w:trHeight w:val="467"/>
        </w:trPr>
        <w:tc>
          <w:tcPr>
            <w:tcW w:w="2916" w:type="dxa"/>
          </w:tcPr>
          <w:p w:rsidR="00E206AC" w:rsidRDefault="00E206AC" w:rsidP="00DF3B15">
            <w:pPr>
              <w:spacing w:line="480" w:lineRule="auto"/>
            </w:pPr>
            <w:r>
              <w:t>Kurzweil 3000 Software</w:t>
            </w:r>
          </w:p>
        </w:tc>
        <w:tc>
          <w:tcPr>
            <w:tcW w:w="2394" w:type="dxa"/>
          </w:tcPr>
          <w:p w:rsidR="00E206AC" w:rsidRDefault="00E206AC" w:rsidP="00DF3B15">
            <w:pPr>
              <w:spacing w:line="480" w:lineRule="auto"/>
            </w:pPr>
            <w:r>
              <w:t>$7,000</w:t>
            </w:r>
          </w:p>
        </w:tc>
        <w:tc>
          <w:tcPr>
            <w:tcW w:w="2394" w:type="dxa"/>
          </w:tcPr>
          <w:p w:rsidR="00E206AC" w:rsidRDefault="00E206AC" w:rsidP="00DF3B15">
            <w:pPr>
              <w:spacing w:line="480" w:lineRule="auto"/>
            </w:pPr>
            <w:r>
              <w:t>4(5-pack)</w:t>
            </w:r>
          </w:p>
        </w:tc>
        <w:tc>
          <w:tcPr>
            <w:tcW w:w="2394" w:type="dxa"/>
          </w:tcPr>
          <w:p w:rsidR="00E206AC" w:rsidRDefault="00E206AC" w:rsidP="00DF3B15">
            <w:pPr>
              <w:spacing w:line="480" w:lineRule="auto"/>
            </w:pPr>
            <w:r>
              <w:t>$28,000</w:t>
            </w:r>
          </w:p>
        </w:tc>
      </w:tr>
      <w:tr w:rsidR="00E206AC" w:rsidTr="00DF3B15">
        <w:tc>
          <w:tcPr>
            <w:tcW w:w="2916" w:type="dxa"/>
          </w:tcPr>
          <w:p w:rsidR="00E206AC" w:rsidRDefault="00E206AC" w:rsidP="00DF3B15">
            <w:pPr>
              <w:spacing w:line="480" w:lineRule="auto"/>
            </w:pPr>
            <w:r>
              <w:t>Kurzweil 3000 Maintenance</w:t>
            </w:r>
          </w:p>
        </w:tc>
        <w:tc>
          <w:tcPr>
            <w:tcW w:w="2394" w:type="dxa"/>
          </w:tcPr>
          <w:p w:rsidR="00E206AC" w:rsidRDefault="00E206AC" w:rsidP="00DF3B15">
            <w:pPr>
              <w:spacing w:line="480" w:lineRule="auto"/>
            </w:pPr>
            <w:r>
              <w:t>$655</w:t>
            </w:r>
          </w:p>
        </w:tc>
        <w:tc>
          <w:tcPr>
            <w:tcW w:w="2394" w:type="dxa"/>
          </w:tcPr>
          <w:p w:rsidR="00E206AC" w:rsidRDefault="00E206AC" w:rsidP="00DF3B15">
            <w:pPr>
              <w:spacing w:line="480" w:lineRule="auto"/>
            </w:pPr>
            <w:r>
              <w:t>4(5-Pack)</w:t>
            </w:r>
          </w:p>
        </w:tc>
        <w:tc>
          <w:tcPr>
            <w:tcW w:w="2394" w:type="dxa"/>
          </w:tcPr>
          <w:p w:rsidR="00E206AC" w:rsidRDefault="00E206AC" w:rsidP="00DF3B15">
            <w:pPr>
              <w:spacing w:line="480" w:lineRule="auto"/>
            </w:pPr>
            <w:r>
              <w:t>$2,620</w:t>
            </w:r>
          </w:p>
        </w:tc>
      </w:tr>
      <w:tr w:rsidR="00E206AC" w:rsidTr="00DF3B15">
        <w:trPr>
          <w:trHeight w:val="422"/>
        </w:trPr>
        <w:tc>
          <w:tcPr>
            <w:tcW w:w="2916" w:type="dxa"/>
          </w:tcPr>
          <w:p w:rsidR="00E206AC" w:rsidRDefault="00E206AC" w:rsidP="00DF3B15">
            <w:pPr>
              <w:spacing w:line="480" w:lineRule="auto"/>
            </w:pPr>
            <w:r>
              <w:t>Scanners</w:t>
            </w:r>
          </w:p>
        </w:tc>
        <w:tc>
          <w:tcPr>
            <w:tcW w:w="2394" w:type="dxa"/>
          </w:tcPr>
          <w:p w:rsidR="00E206AC" w:rsidRDefault="00E206AC" w:rsidP="00DF3B15">
            <w:pPr>
              <w:spacing w:line="480" w:lineRule="auto"/>
            </w:pPr>
            <w:r>
              <w:t>$295</w:t>
            </w:r>
          </w:p>
        </w:tc>
        <w:tc>
          <w:tcPr>
            <w:tcW w:w="2394" w:type="dxa"/>
          </w:tcPr>
          <w:p w:rsidR="00E206AC" w:rsidRDefault="00E206AC" w:rsidP="00DF3B15">
            <w:pPr>
              <w:spacing w:line="480" w:lineRule="auto"/>
            </w:pPr>
            <w:r>
              <w:t>20</w:t>
            </w:r>
          </w:p>
        </w:tc>
        <w:tc>
          <w:tcPr>
            <w:tcW w:w="2394" w:type="dxa"/>
          </w:tcPr>
          <w:p w:rsidR="00E206AC" w:rsidRDefault="00E206AC" w:rsidP="00DF3B15">
            <w:pPr>
              <w:spacing w:line="480" w:lineRule="auto"/>
            </w:pPr>
            <w:r>
              <w:t>$5,900</w:t>
            </w:r>
          </w:p>
        </w:tc>
      </w:tr>
      <w:tr w:rsidR="00E206AC" w:rsidTr="00DF3B15">
        <w:trPr>
          <w:trHeight w:val="440"/>
        </w:trPr>
        <w:tc>
          <w:tcPr>
            <w:tcW w:w="2916" w:type="dxa"/>
          </w:tcPr>
          <w:p w:rsidR="00E206AC" w:rsidRDefault="00E206AC" w:rsidP="00DF3B15">
            <w:pPr>
              <w:spacing w:line="480" w:lineRule="auto"/>
            </w:pPr>
            <w:r>
              <w:t>PC and Monitor</w:t>
            </w:r>
          </w:p>
        </w:tc>
        <w:tc>
          <w:tcPr>
            <w:tcW w:w="2394" w:type="dxa"/>
          </w:tcPr>
          <w:p w:rsidR="00E206AC" w:rsidRDefault="00E206AC" w:rsidP="00DF3B15">
            <w:pPr>
              <w:spacing w:line="480" w:lineRule="auto"/>
            </w:pPr>
            <w:r>
              <w:t>$1,000</w:t>
            </w:r>
          </w:p>
        </w:tc>
        <w:tc>
          <w:tcPr>
            <w:tcW w:w="2394" w:type="dxa"/>
          </w:tcPr>
          <w:p w:rsidR="00E206AC" w:rsidRDefault="00E206AC" w:rsidP="00DF3B15">
            <w:pPr>
              <w:spacing w:line="480" w:lineRule="auto"/>
            </w:pPr>
            <w:r>
              <w:t>20</w:t>
            </w:r>
          </w:p>
        </w:tc>
        <w:tc>
          <w:tcPr>
            <w:tcW w:w="2394" w:type="dxa"/>
          </w:tcPr>
          <w:p w:rsidR="00E206AC" w:rsidRDefault="00E206AC" w:rsidP="00DF3B15">
            <w:pPr>
              <w:spacing w:line="480" w:lineRule="auto"/>
            </w:pPr>
            <w:r>
              <w:t>$20,000</w:t>
            </w:r>
          </w:p>
        </w:tc>
      </w:tr>
      <w:tr w:rsidR="00E206AC" w:rsidTr="00DF3B15">
        <w:trPr>
          <w:trHeight w:val="440"/>
        </w:trPr>
        <w:tc>
          <w:tcPr>
            <w:tcW w:w="2916" w:type="dxa"/>
          </w:tcPr>
          <w:p w:rsidR="00E206AC" w:rsidRDefault="00E206AC" w:rsidP="00DF3B15">
            <w:pPr>
              <w:spacing w:line="480" w:lineRule="auto"/>
            </w:pPr>
            <w:r>
              <w:t>Training of Teachers</w:t>
            </w:r>
          </w:p>
        </w:tc>
        <w:tc>
          <w:tcPr>
            <w:tcW w:w="2394" w:type="dxa"/>
          </w:tcPr>
          <w:p w:rsidR="00E206AC" w:rsidRDefault="00E206AC" w:rsidP="00DF3B15">
            <w:pPr>
              <w:spacing w:line="480" w:lineRule="auto"/>
            </w:pPr>
            <w:r>
              <w:t>$1,100</w:t>
            </w:r>
          </w:p>
        </w:tc>
        <w:tc>
          <w:tcPr>
            <w:tcW w:w="2394" w:type="dxa"/>
          </w:tcPr>
          <w:p w:rsidR="00E206AC" w:rsidRDefault="00E206AC" w:rsidP="00DF3B15">
            <w:pPr>
              <w:spacing w:line="480" w:lineRule="auto"/>
            </w:pPr>
            <w:r>
              <w:t>1 day</w:t>
            </w:r>
          </w:p>
        </w:tc>
        <w:tc>
          <w:tcPr>
            <w:tcW w:w="2394" w:type="dxa"/>
          </w:tcPr>
          <w:p w:rsidR="00E206AC" w:rsidRDefault="00E206AC" w:rsidP="00DF3B15">
            <w:pPr>
              <w:spacing w:line="480" w:lineRule="auto"/>
            </w:pPr>
            <w:r>
              <w:t>$1100</w:t>
            </w:r>
          </w:p>
        </w:tc>
      </w:tr>
      <w:tr w:rsidR="00E206AC" w:rsidTr="00DF3B15">
        <w:trPr>
          <w:trHeight w:val="440"/>
        </w:trPr>
        <w:tc>
          <w:tcPr>
            <w:tcW w:w="2916" w:type="dxa"/>
          </w:tcPr>
          <w:p w:rsidR="00E206AC" w:rsidRDefault="00E206AC" w:rsidP="00DF3B15">
            <w:pPr>
              <w:spacing w:line="480" w:lineRule="auto"/>
            </w:pPr>
          </w:p>
        </w:tc>
        <w:tc>
          <w:tcPr>
            <w:tcW w:w="2394" w:type="dxa"/>
          </w:tcPr>
          <w:p w:rsidR="00E206AC" w:rsidRDefault="00E206AC" w:rsidP="00DF3B15">
            <w:pPr>
              <w:spacing w:line="480" w:lineRule="auto"/>
            </w:pPr>
          </w:p>
        </w:tc>
        <w:tc>
          <w:tcPr>
            <w:tcW w:w="2394" w:type="dxa"/>
          </w:tcPr>
          <w:p w:rsidR="00E206AC" w:rsidRDefault="00E206AC" w:rsidP="00DF3B15">
            <w:pPr>
              <w:spacing w:line="480" w:lineRule="auto"/>
            </w:pPr>
          </w:p>
        </w:tc>
        <w:tc>
          <w:tcPr>
            <w:tcW w:w="2394" w:type="dxa"/>
          </w:tcPr>
          <w:p w:rsidR="00E206AC" w:rsidRDefault="00E206AC" w:rsidP="00DF3B15">
            <w:pPr>
              <w:spacing w:line="480" w:lineRule="auto"/>
            </w:pPr>
            <w:r>
              <w:t>$57,620</w:t>
            </w:r>
          </w:p>
        </w:tc>
      </w:tr>
    </w:tbl>
    <w:p w:rsidR="008304A4" w:rsidRDefault="008304A4" w:rsidP="00E206AC">
      <w:pPr>
        <w:spacing w:line="480" w:lineRule="auto"/>
        <w:ind w:firstLine="720"/>
      </w:pPr>
      <w:r>
        <w:t xml:space="preserve">To successfully produce the desired outcomes, the program will run for 12 months provided the grant will mature by June 2019. Acquisition of all materials will be done in a period of one month and the systems installed in July 2020. Considering that Read for Success Program is new to teachers, a teachers training session will be held in the first week of August 2019. After the teachers understand how to use the Kurzweil 3000 software, they will then train the students in the subsequent two weeks. After all the students understand about the Read For Success program, the teachers will provide a standardized assessment for all students and record the speed and the results. This implies that a timeline of two months will be enough to prepare the program. The first phase will commence in September 2019 and end in May 2020. In the first </w:t>
      </w:r>
      <w:r>
        <w:lastRenderedPageBreak/>
        <w:t>week of June 2020, a final assessment will be conducted. Finally, in the second week of June 2020, a report will be prepared and submitted to the Annenberg Foundation.</w:t>
      </w:r>
    </w:p>
    <w:p w:rsidR="008304A4" w:rsidRDefault="008304A4" w:rsidP="008304A4">
      <w:pPr>
        <w:spacing w:line="480" w:lineRule="auto"/>
        <w:ind w:firstLine="720"/>
      </w:pPr>
    </w:p>
    <w:p w:rsidR="008304A4" w:rsidRDefault="008304A4" w:rsidP="008304A4">
      <w:pPr>
        <w:spacing w:line="480" w:lineRule="auto"/>
        <w:ind w:firstLine="720"/>
      </w:pPr>
    </w:p>
    <w:p w:rsidR="008113FF" w:rsidRDefault="008113FF" w:rsidP="00842200">
      <w:pPr>
        <w:spacing w:line="480" w:lineRule="auto"/>
        <w:ind w:firstLine="720"/>
      </w:pPr>
    </w:p>
    <w:p w:rsidR="0000480D" w:rsidRDefault="0000480D" w:rsidP="004B5C00">
      <w:pPr>
        <w:spacing w:line="480" w:lineRule="auto"/>
        <w:jc w:val="center"/>
      </w:pPr>
    </w:p>
    <w:p w:rsidR="0000480D" w:rsidRDefault="0000480D" w:rsidP="004B5C00">
      <w:pPr>
        <w:spacing w:line="480" w:lineRule="auto"/>
        <w:jc w:val="center"/>
      </w:pPr>
    </w:p>
    <w:p w:rsidR="0000480D" w:rsidRDefault="0000480D" w:rsidP="004B5C00">
      <w:pPr>
        <w:spacing w:line="480" w:lineRule="auto"/>
        <w:jc w:val="center"/>
      </w:pPr>
    </w:p>
    <w:p w:rsidR="0000480D" w:rsidRDefault="0000480D" w:rsidP="004B5C00">
      <w:pPr>
        <w:spacing w:line="480" w:lineRule="auto"/>
        <w:jc w:val="center"/>
      </w:pPr>
    </w:p>
    <w:p w:rsidR="0000480D" w:rsidRDefault="0000480D" w:rsidP="004B5C00">
      <w:pPr>
        <w:spacing w:line="480" w:lineRule="auto"/>
        <w:jc w:val="center"/>
      </w:pPr>
    </w:p>
    <w:p w:rsidR="0000480D" w:rsidRDefault="0000480D" w:rsidP="004B5C00">
      <w:pPr>
        <w:spacing w:line="480" w:lineRule="auto"/>
        <w:jc w:val="center"/>
      </w:pPr>
    </w:p>
    <w:p w:rsidR="0000480D" w:rsidRDefault="0000480D" w:rsidP="004B5C00">
      <w:pPr>
        <w:spacing w:line="480" w:lineRule="auto"/>
        <w:jc w:val="center"/>
      </w:pPr>
    </w:p>
    <w:p w:rsidR="0000480D" w:rsidRDefault="0000480D" w:rsidP="004B5C00">
      <w:pPr>
        <w:spacing w:line="480" w:lineRule="auto"/>
        <w:jc w:val="center"/>
      </w:pPr>
    </w:p>
    <w:p w:rsidR="0000480D" w:rsidRDefault="0000480D" w:rsidP="004B5C00">
      <w:pPr>
        <w:spacing w:line="480" w:lineRule="auto"/>
        <w:jc w:val="center"/>
      </w:pPr>
    </w:p>
    <w:p w:rsidR="00E206AC" w:rsidRDefault="00E206AC" w:rsidP="004B5C00">
      <w:pPr>
        <w:spacing w:line="480" w:lineRule="auto"/>
        <w:jc w:val="center"/>
      </w:pPr>
    </w:p>
    <w:p w:rsidR="00E206AC" w:rsidRDefault="00E206AC" w:rsidP="004B5C00">
      <w:pPr>
        <w:spacing w:line="480" w:lineRule="auto"/>
        <w:jc w:val="center"/>
      </w:pPr>
    </w:p>
    <w:p w:rsidR="0000480D" w:rsidRDefault="0000480D" w:rsidP="004B5C00">
      <w:pPr>
        <w:spacing w:line="480" w:lineRule="auto"/>
        <w:jc w:val="center"/>
      </w:pPr>
    </w:p>
    <w:p w:rsidR="00273117" w:rsidRDefault="00273117" w:rsidP="00273117">
      <w:pPr>
        <w:spacing w:line="480" w:lineRule="auto"/>
      </w:pPr>
    </w:p>
    <w:p w:rsidR="004B5C00" w:rsidRDefault="004B5C00" w:rsidP="00273117">
      <w:pPr>
        <w:spacing w:line="480" w:lineRule="auto"/>
        <w:jc w:val="center"/>
      </w:pPr>
      <w:r>
        <w:lastRenderedPageBreak/>
        <w:t>References</w:t>
      </w:r>
    </w:p>
    <w:p w:rsidR="008113FF" w:rsidRDefault="008113FF" w:rsidP="00273117">
      <w:pPr>
        <w:spacing w:line="480" w:lineRule="auto"/>
        <w:ind w:left="720" w:hanging="720"/>
      </w:pPr>
      <w:r>
        <w:rPr>
          <w:i/>
          <w:iCs/>
          <w:noProof/>
        </w:rPr>
        <w:t>Computer Accesories &amp; Peripherals | Amazon.com</w:t>
      </w:r>
      <w:r>
        <w:rPr>
          <w:noProof/>
        </w:rPr>
        <w:t>. (2019, March 15). Retrieved from Amazon.cpm: https://www.amazon.com/computer-accessories-supplies/b?node=172456</w:t>
      </w:r>
    </w:p>
    <w:p w:rsidR="004B5C00" w:rsidRDefault="00FE59D1" w:rsidP="00273117">
      <w:pPr>
        <w:pStyle w:val="Bibliography"/>
        <w:spacing w:line="480" w:lineRule="auto"/>
        <w:ind w:left="720" w:hanging="720"/>
        <w:rPr>
          <w:noProof/>
        </w:rPr>
      </w:pPr>
      <w:r>
        <w:fldChar w:fldCharType="begin"/>
      </w:r>
      <w:r w:rsidR="004B5C00">
        <w:instrText xml:space="preserve"> BIBLIOGRAPHY  \l 1033 </w:instrText>
      </w:r>
      <w:r>
        <w:fldChar w:fldCharType="separate"/>
      </w:r>
      <w:r w:rsidR="004B5C00">
        <w:rPr>
          <w:i/>
          <w:iCs/>
          <w:noProof/>
        </w:rPr>
        <w:t>Grantmaking | Annenberg Foundation</w:t>
      </w:r>
      <w:r w:rsidR="004B5C00">
        <w:rPr>
          <w:noProof/>
        </w:rPr>
        <w:t>. (2019, 3 15). Retrieved from Annenberg Foundation: https://www.annenberg.org/what-we-do/grantmaking/</w:t>
      </w:r>
    </w:p>
    <w:p w:rsidR="008113FF" w:rsidRDefault="008113FF" w:rsidP="00273117">
      <w:pPr>
        <w:pStyle w:val="Bibliography"/>
        <w:spacing w:line="480" w:lineRule="auto"/>
        <w:ind w:left="720" w:hanging="720"/>
        <w:rPr>
          <w:noProof/>
        </w:rPr>
      </w:pPr>
      <w:r>
        <w:fldChar w:fldCharType="begin"/>
      </w:r>
      <w:r>
        <w:instrText xml:space="preserve"> BIBLIOGRAPHY  \l 1033 </w:instrText>
      </w:r>
      <w:r>
        <w:fldChar w:fldCharType="separate"/>
      </w:r>
      <w:r>
        <w:rPr>
          <w:noProof/>
        </w:rPr>
        <w:t xml:space="preserve">Kaniktar, A. S. (2014). Kurzweil: A Computer-Supported Reading Tool for Students with Learning and Attention Challenges in Higher Education . </w:t>
      </w:r>
      <w:r>
        <w:rPr>
          <w:i/>
          <w:iCs/>
          <w:noProof/>
        </w:rPr>
        <w:t>Indiana University</w:t>
      </w:r>
      <w:r>
        <w:rPr>
          <w:noProof/>
        </w:rPr>
        <w:t>, 648-652.</w:t>
      </w:r>
    </w:p>
    <w:p w:rsidR="008113FF" w:rsidRDefault="008113FF" w:rsidP="00273117">
      <w:pPr>
        <w:pStyle w:val="Bibliography"/>
        <w:spacing w:line="480" w:lineRule="auto"/>
        <w:ind w:left="720" w:hanging="720"/>
        <w:rPr>
          <w:noProof/>
        </w:rPr>
      </w:pPr>
      <w:r>
        <w:rPr>
          <w:noProof/>
        </w:rPr>
        <w:t xml:space="preserve">Linda, D. (2011). A Guide For Vision Testing California Public Schools. </w:t>
      </w:r>
      <w:r>
        <w:rPr>
          <w:i/>
          <w:iCs/>
          <w:noProof/>
        </w:rPr>
        <w:t>California Department of Education</w:t>
      </w:r>
      <w:r>
        <w:rPr>
          <w:noProof/>
        </w:rPr>
        <w:t>, 5-38.</w:t>
      </w:r>
    </w:p>
    <w:p w:rsidR="004B5C00" w:rsidRDefault="008113FF" w:rsidP="00273117">
      <w:pPr>
        <w:spacing w:line="480" w:lineRule="auto"/>
        <w:ind w:left="720" w:hanging="720"/>
      </w:pPr>
      <w:r>
        <w:fldChar w:fldCharType="end"/>
      </w:r>
      <w:r w:rsidR="004B5C00">
        <w:rPr>
          <w:i/>
          <w:iCs/>
          <w:noProof/>
        </w:rPr>
        <w:t>Who We Are | Annenberg foundation</w:t>
      </w:r>
      <w:r w:rsidR="004B5C00">
        <w:rPr>
          <w:noProof/>
        </w:rPr>
        <w:t>. (2019, 3 15). Retrieved from Annenberg Foundation: https://www.annenberg.org/who-we-are</w:t>
      </w:r>
    </w:p>
    <w:p w:rsidR="008113FF" w:rsidRPr="008113FF" w:rsidRDefault="008113FF" w:rsidP="00273117">
      <w:pPr>
        <w:spacing w:line="480" w:lineRule="auto"/>
        <w:ind w:hanging="720"/>
      </w:pPr>
    </w:p>
    <w:p w:rsidR="004B5C00" w:rsidRDefault="00FE59D1" w:rsidP="00273117">
      <w:pPr>
        <w:spacing w:line="480" w:lineRule="auto"/>
        <w:ind w:hanging="720"/>
      </w:pPr>
      <w:r>
        <w:fldChar w:fldCharType="end"/>
      </w:r>
    </w:p>
    <w:sectPr w:rsidR="004B5C00" w:rsidSect="004B5C0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54B0" w:rsidRDefault="003E54B0" w:rsidP="004B5C00">
      <w:pPr>
        <w:spacing w:after="0" w:line="240" w:lineRule="auto"/>
      </w:pPr>
      <w:r>
        <w:separator/>
      </w:r>
    </w:p>
  </w:endnote>
  <w:endnote w:type="continuationSeparator" w:id="1">
    <w:p w:rsidR="003E54B0" w:rsidRDefault="003E54B0" w:rsidP="004B5C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54B0" w:rsidRDefault="003E54B0" w:rsidP="004B5C00">
      <w:pPr>
        <w:spacing w:after="0" w:line="240" w:lineRule="auto"/>
      </w:pPr>
      <w:r>
        <w:separator/>
      </w:r>
    </w:p>
  </w:footnote>
  <w:footnote w:type="continuationSeparator" w:id="1">
    <w:p w:rsidR="003E54B0" w:rsidRDefault="003E54B0" w:rsidP="004B5C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00" w:rsidRDefault="008113FF" w:rsidP="008113FF">
    <w:pPr>
      <w:pStyle w:val="Header"/>
    </w:pPr>
    <w:r>
      <w:t xml:space="preserve">GRANT PROPOSAL        </w:t>
    </w:r>
    <w:r w:rsidR="004B5C00">
      <w:t xml:space="preserve">                                                                              </w:t>
    </w:r>
    <w:r>
      <w:t xml:space="preserve">                      </w:t>
    </w:r>
    <w:r w:rsidR="004B5C00">
      <w:t xml:space="preserve">        </w:t>
    </w:r>
    <w:sdt>
      <w:sdtPr>
        <w:id w:val="9862654"/>
        <w:docPartObj>
          <w:docPartGallery w:val="Page Numbers (Top of Page)"/>
          <w:docPartUnique/>
        </w:docPartObj>
      </w:sdtPr>
      <w:sdtContent>
        <w:fldSimple w:instr=" PAGE   \* MERGEFORMAT ">
          <w:r w:rsidR="00E206AC">
            <w:rPr>
              <w:noProof/>
            </w:rPr>
            <w:t>14</w:t>
          </w:r>
        </w:fldSimple>
      </w:sdtContent>
    </w:sdt>
  </w:p>
  <w:p w:rsidR="004B5C00" w:rsidRDefault="004B5C0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00" w:rsidRDefault="004B5C00" w:rsidP="008113FF">
    <w:pPr>
      <w:pStyle w:val="Header"/>
    </w:pPr>
    <w:r>
      <w:t>Running head: GRANT</w:t>
    </w:r>
    <w:r w:rsidR="008113FF">
      <w:t xml:space="preserve"> PROPOSAL </w:t>
    </w:r>
    <w:r>
      <w:t xml:space="preserve">                                                         </w:t>
    </w:r>
    <w:r w:rsidR="008113FF">
      <w:t xml:space="preserve">                            </w:t>
    </w:r>
    <w:r>
      <w:t xml:space="preserve">       </w:t>
    </w:r>
    <w:sdt>
      <w:sdtPr>
        <w:id w:val="9862532"/>
        <w:docPartObj>
          <w:docPartGallery w:val="Page Numbers (Top of Page)"/>
          <w:docPartUnique/>
        </w:docPartObj>
      </w:sdtPr>
      <w:sdtContent>
        <w:fldSimple w:instr=" PAGE   \* MERGEFORMAT ">
          <w:r w:rsidR="00E206AC">
            <w:rPr>
              <w:noProof/>
            </w:rPr>
            <w:t>1</w:t>
          </w:r>
        </w:fldSimple>
      </w:sdtContent>
    </w:sdt>
  </w:p>
  <w:p w:rsidR="004B5C00" w:rsidRDefault="004B5C0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B3043"/>
    <w:multiLevelType w:val="hybridMultilevel"/>
    <w:tmpl w:val="7406AC3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895F93"/>
    <w:multiLevelType w:val="hybridMultilevel"/>
    <w:tmpl w:val="CB22681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F8490A"/>
    <w:rsid w:val="0000480D"/>
    <w:rsid w:val="000F57C9"/>
    <w:rsid w:val="000F6D4B"/>
    <w:rsid w:val="001035A8"/>
    <w:rsid w:val="00176DEE"/>
    <w:rsid w:val="001F5034"/>
    <w:rsid w:val="00266243"/>
    <w:rsid w:val="00273117"/>
    <w:rsid w:val="002B7B84"/>
    <w:rsid w:val="002E51FA"/>
    <w:rsid w:val="002F022F"/>
    <w:rsid w:val="00306FA1"/>
    <w:rsid w:val="0031197F"/>
    <w:rsid w:val="003256FD"/>
    <w:rsid w:val="003D0BF7"/>
    <w:rsid w:val="003D6661"/>
    <w:rsid w:val="003E54B0"/>
    <w:rsid w:val="004103F0"/>
    <w:rsid w:val="00416EF4"/>
    <w:rsid w:val="004B5C00"/>
    <w:rsid w:val="00521524"/>
    <w:rsid w:val="00576F9E"/>
    <w:rsid w:val="00593744"/>
    <w:rsid w:val="005A007A"/>
    <w:rsid w:val="005B040B"/>
    <w:rsid w:val="005C615B"/>
    <w:rsid w:val="006E4CBD"/>
    <w:rsid w:val="007140BE"/>
    <w:rsid w:val="007535A8"/>
    <w:rsid w:val="007954AD"/>
    <w:rsid w:val="007E45EE"/>
    <w:rsid w:val="008113FF"/>
    <w:rsid w:val="008304A4"/>
    <w:rsid w:val="00842200"/>
    <w:rsid w:val="00845840"/>
    <w:rsid w:val="00847E94"/>
    <w:rsid w:val="00903BFC"/>
    <w:rsid w:val="00970BF0"/>
    <w:rsid w:val="00982E83"/>
    <w:rsid w:val="00994E35"/>
    <w:rsid w:val="00997AB8"/>
    <w:rsid w:val="00A41B11"/>
    <w:rsid w:val="00A86C04"/>
    <w:rsid w:val="00AE189C"/>
    <w:rsid w:val="00B27FFB"/>
    <w:rsid w:val="00B532ED"/>
    <w:rsid w:val="00B57DF1"/>
    <w:rsid w:val="00B7423A"/>
    <w:rsid w:val="00C02150"/>
    <w:rsid w:val="00D47A4E"/>
    <w:rsid w:val="00D651C4"/>
    <w:rsid w:val="00D85099"/>
    <w:rsid w:val="00DA37FC"/>
    <w:rsid w:val="00DC12E5"/>
    <w:rsid w:val="00DC482E"/>
    <w:rsid w:val="00E206AC"/>
    <w:rsid w:val="00EA31ED"/>
    <w:rsid w:val="00F36147"/>
    <w:rsid w:val="00F6665A"/>
    <w:rsid w:val="00F8490A"/>
    <w:rsid w:val="00FE59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4B5C00"/>
  </w:style>
  <w:style w:type="paragraph" w:styleId="Header">
    <w:name w:val="header"/>
    <w:basedOn w:val="Normal"/>
    <w:link w:val="HeaderChar"/>
    <w:uiPriority w:val="99"/>
    <w:unhideWhenUsed/>
    <w:rsid w:val="004B5C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C00"/>
  </w:style>
  <w:style w:type="paragraph" w:styleId="Footer">
    <w:name w:val="footer"/>
    <w:basedOn w:val="Normal"/>
    <w:link w:val="FooterChar"/>
    <w:uiPriority w:val="99"/>
    <w:semiHidden/>
    <w:unhideWhenUsed/>
    <w:rsid w:val="004B5C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B5C00"/>
  </w:style>
  <w:style w:type="paragraph" w:styleId="BalloonText">
    <w:name w:val="Balloon Text"/>
    <w:basedOn w:val="Normal"/>
    <w:link w:val="BalloonTextChar"/>
    <w:uiPriority w:val="99"/>
    <w:semiHidden/>
    <w:unhideWhenUsed/>
    <w:rsid w:val="004B5C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5C00"/>
    <w:rPr>
      <w:rFonts w:ascii="Tahoma" w:hAnsi="Tahoma" w:cs="Tahoma"/>
      <w:sz w:val="16"/>
      <w:szCs w:val="16"/>
    </w:rPr>
  </w:style>
  <w:style w:type="paragraph" w:styleId="ListParagraph">
    <w:name w:val="List Paragraph"/>
    <w:basedOn w:val="Normal"/>
    <w:uiPriority w:val="34"/>
    <w:qFormat/>
    <w:rsid w:val="008113FF"/>
    <w:pPr>
      <w:ind w:left="720"/>
      <w:contextualSpacing/>
    </w:pPr>
  </w:style>
  <w:style w:type="table" w:styleId="TableGrid">
    <w:name w:val="Table Grid"/>
    <w:basedOn w:val="TableNormal"/>
    <w:uiPriority w:val="59"/>
    <w:rsid w:val="008113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Gra19</b:Tag>
    <b:SourceType>InternetSite</b:SourceType>
    <b:Guid>{CB1043DD-EDD4-4625-8EEF-926A28C8B869}</b:Guid>
    <b:LCID>0</b:LCID>
    <b:Title>Grantmaking | Annenberg Foundation</b:Title>
    <b:Year>2019</b:Year>
    <b:InternetSiteTitle>Annenberg Foundation</b:InternetSiteTitle>
    <b:Month>3</b:Month>
    <b:Day>15</b:Day>
    <b:URL>https://www.annenberg.org/what-we-do/grantmaking/</b:URL>
    <b:RefOrder>1</b:RefOrder>
  </b:Source>
  <b:Source>
    <b:Tag>Who19</b:Tag>
    <b:SourceType>InternetSite</b:SourceType>
    <b:Guid>{C4049F6F-9561-4EB6-B146-A3B03148AAC2}</b:Guid>
    <b:LCID>0</b:LCID>
    <b:Title>Who We Are | Annenberg foundation</b:Title>
    <b:InternetSiteTitle>Annenberg Foundation</b:InternetSiteTitle>
    <b:Year>2019</b:Year>
    <b:Month>3</b:Month>
    <b:Day>15</b:Day>
    <b:URL>https://www.annenberg.org/who-we-are</b:URL>
    <b:RefOrder>2</b:RefOrder>
  </b:Source>
</b:Sources>
</file>

<file path=customXml/itemProps1.xml><?xml version="1.0" encoding="utf-8"?>
<ds:datastoreItem xmlns:ds="http://schemas.openxmlformats.org/officeDocument/2006/customXml" ds:itemID="{1398B13D-8BC5-4B66-9715-A0357C4FE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2725</Words>
  <Characters>15535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2019-03-15T20:00:00Z</dcterms:created>
  <dcterms:modified xsi:type="dcterms:W3CDTF">2019-03-15T20:00:00Z</dcterms:modified>
</cp:coreProperties>
</file>